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0E" w:rsidRPr="00453102" w:rsidRDefault="00AC0031" w:rsidP="00D62A0E">
      <w:pPr>
        <w:jc w:val="both"/>
        <w:rPr>
          <w:sz w:val="20"/>
          <w:szCs w:val="20"/>
          <w:lang w:val="it-IT"/>
        </w:rPr>
      </w:pPr>
      <w:r>
        <w:rPr>
          <w:sz w:val="20"/>
          <w:szCs w:val="20"/>
          <w:lang w:val="it-IT"/>
        </w:rPr>
        <w:t>Bergamo,</w:t>
      </w:r>
      <w:r w:rsidR="00B01C0E">
        <w:rPr>
          <w:sz w:val="20"/>
          <w:szCs w:val="20"/>
          <w:lang w:val="it-IT"/>
        </w:rPr>
        <w:t xml:space="preserve"> </w:t>
      </w:r>
      <w:r w:rsidR="006C3559">
        <w:rPr>
          <w:sz w:val="20"/>
          <w:szCs w:val="20"/>
          <w:lang w:val="it-IT"/>
        </w:rPr>
        <w:t>29</w:t>
      </w:r>
      <w:r w:rsidR="00B24232">
        <w:rPr>
          <w:sz w:val="20"/>
          <w:szCs w:val="20"/>
          <w:lang w:val="it-IT"/>
        </w:rPr>
        <w:t xml:space="preserve"> </w:t>
      </w:r>
      <w:r w:rsidR="00D62A0E" w:rsidRPr="00453102">
        <w:rPr>
          <w:sz w:val="20"/>
          <w:szCs w:val="20"/>
          <w:lang w:val="it-IT"/>
        </w:rPr>
        <w:t>novembre 2012</w:t>
      </w:r>
    </w:p>
    <w:p w:rsidR="00D62A0E" w:rsidRDefault="00D62A0E" w:rsidP="00D62A0E">
      <w:pPr>
        <w:jc w:val="both"/>
        <w:rPr>
          <w:sz w:val="20"/>
          <w:szCs w:val="20"/>
          <w:lang w:val="it-IT"/>
        </w:rPr>
      </w:pPr>
    </w:p>
    <w:p w:rsidR="00D62A0E" w:rsidRPr="00453102" w:rsidRDefault="00D62A0E" w:rsidP="00D62A0E">
      <w:pPr>
        <w:spacing w:after="0"/>
        <w:jc w:val="both"/>
        <w:rPr>
          <w:sz w:val="20"/>
          <w:szCs w:val="20"/>
          <w:lang w:val="it-IT"/>
        </w:rPr>
      </w:pPr>
      <w:r w:rsidRPr="00453102">
        <w:rPr>
          <w:sz w:val="20"/>
          <w:szCs w:val="20"/>
          <w:lang w:val="it-IT"/>
        </w:rPr>
        <w:t>Spett.</w:t>
      </w:r>
    </w:p>
    <w:p w:rsidR="00D62A0E" w:rsidRPr="00453102" w:rsidRDefault="00D62A0E" w:rsidP="00D62A0E">
      <w:pPr>
        <w:spacing w:after="120"/>
        <w:jc w:val="both"/>
        <w:rPr>
          <w:sz w:val="20"/>
          <w:szCs w:val="20"/>
          <w:lang w:val="it-IT"/>
        </w:rPr>
      </w:pPr>
      <w:r w:rsidRPr="00453102">
        <w:rPr>
          <w:sz w:val="20"/>
          <w:szCs w:val="20"/>
          <w:lang w:val="it-IT"/>
        </w:rPr>
        <w:t xml:space="preserve">Delegazioni Sindacali </w:t>
      </w:r>
      <w:r>
        <w:rPr>
          <w:sz w:val="20"/>
          <w:szCs w:val="20"/>
          <w:lang w:val="it-IT"/>
        </w:rPr>
        <w:t>di Gruppo</w:t>
      </w:r>
    </w:p>
    <w:p w:rsidR="006C3559" w:rsidRDefault="006C3559" w:rsidP="00A37625">
      <w:pPr>
        <w:spacing w:line="240" w:lineRule="auto"/>
        <w:rPr>
          <w:lang w:val="it-IT"/>
        </w:rPr>
      </w:pPr>
    </w:p>
    <w:p w:rsidR="003106FA" w:rsidRPr="00A37625" w:rsidRDefault="0016265B" w:rsidP="00A37625">
      <w:pPr>
        <w:spacing w:line="240" w:lineRule="auto"/>
        <w:rPr>
          <w:sz w:val="20"/>
          <w:szCs w:val="20"/>
          <w:lang w:val="it-IT"/>
        </w:rPr>
      </w:pPr>
      <w:r>
        <w:rPr>
          <w:lang w:val="it-IT"/>
        </w:rPr>
        <w:tab/>
      </w:r>
      <w:r>
        <w:rPr>
          <w:lang w:val="it-IT"/>
        </w:rPr>
        <w:tab/>
      </w:r>
      <w:r>
        <w:rPr>
          <w:lang w:val="it-IT"/>
        </w:rPr>
        <w:tab/>
      </w:r>
      <w:r>
        <w:rPr>
          <w:lang w:val="it-IT"/>
        </w:rPr>
        <w:tab/>
      </w:r>
      <w:r>
        <w:rPr>
          <w:lang w:val="it-IT"/>
        </w:rPr>
        <w:tab/>
      </w:r>
    </w:p>
    <w:p w:rsidR="0016265B" w:rsidRDefault="0016265B" w:rsidP="00A37625">
      <w:pPr>
        <w:spacing w:line="240" w:lineRule="auto"/>
        <w:rPr>
          <w:sz w:val="20"/>
          <w:szCs w:val="20"/>
          <w:lang w:val="it-IT"/>
        </w:rPr>
      </w:pPr>
      <w:r w:rsidRPr="00A37625">
        <w:rPr>
          <w:sz w:val="20"/>
          <w:szCs w:val="20"/>
          <w:lang w:val="it-IT"/>
        </w:rPr>
        <w:t xml:space="preserve">Oggetto: </w:t>
      </w:r>
      <w:r w:rsidR="00EA27EF" w:rsidRPr="00A37625">
        <w:rPr>
          <w:sz w:val="20"/>
          <w:szCs w:val="20"/>
          <w:lang w:val="it-IT"/>
        </w:rPr>
        <w:t>Accordo Quadro</w:t>
      </w:r>
      <w:r w:rsidR="00DC202F" w:rsidRPr="00A37625">
        <w:rPr>
          <w:sz w:val="20"/>
          <w:szCs w:val="20"/>
          <w:lang w:val="it-IT"/>
        </w:rPr>
        <w:t xml:space="preserve"> del</w:t>
      </w:r>
      <w:r w:rsidR="00B01C0E">
        <w:rPr>
          <w:sz w:val="20"/>
          <w:szCs w:val="20"/>
          <w:lang w:val="it-IT"/>
        </w:rPr>
        <w:t xml:space="preserve"> </w:t>
      </w:r>
      <w:r w:rsidR="00B24232">
        <w:rPr>
          <w:sz w:val="20"/>
          <w:szCs w:val="20"/>
          <w:lang w:val="it-IT"/>
        </w:rPr>
        <w:t>2</w:t>
      </w:r>
      <w:r w:rsidR="006C3559">
        <w:rPr>
          <w:sz w:val="20"/>
          <w:szCs w:val="20"/>
          <w:lang w:val="it-IT"/>
        </w:rPr>
        <w:t>9</w:t>
      </w:r>
      <w:r w:rsidR="008F11CC">
        <w:rPr>
          <w:sz w:val="20"/>
          <w:szCs w:val="20"/>
          <w:lang w:val="it-IT"/>
        </w:rPr>
        <w:t>.</w:t>
      </w:r>
      <w:r w:rsidR="00D62A0E">
        <w:rPr>
          <w:sz w:val="20"/>
          <w:szCs w:val="20"/>
          <w:lang w:val="it-IT"/>
        </w:rPr>
        <w:t>11</w:t>
      </w:r>
      <w:r w:rsidR="008F11CC">
        <w:rPr>
          <w:sz w:val="20"/>
          <w:szCs w:val="20"/>
          <w:lang w:val="it-IT"/>
        </w:rPr>
        <w:t>.2012</w:t>
      </w:r>
      <w:r w:rsidR="00A4624F">
        <w:rPr>
          <w:sz w:val="20"/>
          <w:szCs w:val="20"/>
          <w:lang w:val="it-IT"/>
        </w:rPr>
        <w:t xml:space="preserve"> </w:t>
      </w:r>
      <w:r w:rsidR="00DC202F" w:rsidRPr="00A37625">
        <w:rPr>
          <w:sz w:val="20"/>
          <w:szCs w:val="20"/>
          <w:lang w:val="it-IT"/>
        </w:rPr>
        <w:t xml:space="preserve"> – Politiche in materia di o</w:t>
      </w:r>
      <w:r w:rsidRPr="00A37625">
        <w:rPr>
          <w:sz w:val="20"/>
          <w:szCs w:val="20"/>
          <w:lang w:val="it-IT"/>
        </w:rPr>
        <w:t>ccupazione</w:t>
      </w:r>
    </w:p>
    <w:p w:rsidR="008B7AFD" w:rsidRPr="006C3559" w:rsidRDefault="006B3F8B" w:rsidP="00CA3A9D">
      <w:pPr>
        <w:spacing w:after="120" w:line="240" w:lineRule="auto"/>
        <w:ind w:firstLine="720"/>
        <w:jc w:val="both"/>
        <w:rPr>
          <w:sz w:val="20"/>
          <w:szCs w:val="20"/>
          <w:lang w:val="it-IT"/>
        </w:rPr>
      </w:pPr>
      <w:r w:rsidRPr="006C3559">
        <w:rPr>
          <w:sz w:val="20"/>
          <w:szCs w:val="20"/>
          <w:lang w:val="it-IT"/>
        </w:rPr>
        <w:t xml:space="preserve">A fronte delle uscite di personale che si realizzeranno </w:t>
      </w:r>
      <w:r w:rsidR="003A37A9" w:rsidRPr="006C3559">
        <w:rPr>
          <w:sz w:val="20"/>
          <w:szCs w:val="20"/>
          <w:lang w:val="it-IT"/>
        </w:rPr>
        <w:t xml:space="preserve">in </w:t>
      </w:r>
      <w:r w:rsidRPr="006C3559">
        <w:rPr>
          <w:sz w:val="20"/>
          <w:szCs w:val="20"/>
          <w:lang w:val="it-IT"/>
        </w:rPr>
        <w:t xml:space="preserve">applicazione del piano di esodo riferito all’Accordo Quadro del </w:t>
      </w:r>
      <w:r w:rsidR="00B24232" w:rsidRPr="006C3559">
        <w:rPr>
          <w:sz w:val="20"/>
          <w:szCs w:val="20"/>
          <w:lang w:val="it-IT"/>
        </w:rPr>
        <w:t>2</w:t>
      </w:r>
      <w:r w:rsidR="006C3559" w:rsidRPr="006C3559">
        <w:rPr>
          <w:sz w:val="20"/>
          <w:szCs w:val="20"/>
          <w:lang w:val="it-IT"/>
        </w:rPr>
        <w:t>9</w:t>
      </w:r>
      <w:r w:rsidR="008F11CC" w:rsidRPr="006C3559">
        <w:rPr>
          <w:sz w:val="20"/>
          <w:szCs w:val="20"/>
          <w:lang w:val="it-IT"/>
        </w:rPr>
        <w:t>.</w:t>
      </w:r>
      <w:r w:rsidR="00D62A0E" w:rsidRPr="006C3559">
        <w:rPr>
          <w:sz w:val="20"/>
          <w:szCs w:val="20"/>
          <w:lang w:val="it-IT"/>
        </w:rPr>
        <w:t>11</w:t>
      </w:r>
      <w:r w:rsidR="008F11CC" w:rsidRPr="006C3559">
        <w:rPr>
          <w:sz w:val="20"/>
          <w:szCs w:val="20"/>
          <w:lang w:val="it-IT"/>
        </w:rPr>
        <w:t>.2012</w:t>
      </w:r>
      <w:r w:rsidR="00453F54" w:rsidRPr="006C3559">
        <w:rPr>
          <w:sz w:val="20"/>
          <w:szCs w:val="20"/>
          <w:lang w:val="it-IT"/>
        </w:rPr>
        <w:t>,</w:t>
      </w:r>
      <w:r w:rsidRPr="006C3559">
        <w:rPr>
          <w:sz w:val="20"/>
          <w:szCs w:val="20"/>
          <w:lang w:val="it-IT"/>
        </w:rPr>
        <w:t xml:space="preserve"> il Gruppo pro</w:t>
      </w:r>
      <w:r w:rsidR="008F11CC" w:rsidRPr="006C3559">
        <w:rPr>
          <w:sz w:val="20"/>
          <w:szCs w:val="20"/>
          <w:lang w:val="it-IT"/>
        </w:rPr>
        <w:t>cederà nel corso de</w:t>
      </w:r>
      <w:r w:rsidR="008B7AFD" w:rsidRPr="006C3559">
        <w:rPr>
          <w:sz w:val="20"/>
          <w:szCs w:val="20"/>
          <w:lang w:val="it-IT"/>
        </w:rPr>
        <w:t>l periodo</w:t>
      </w:r>
      <w:r w:rsidR="008F11CC" w:rsidRPr="006C3559">
        <w:rPr>
          <w:sz w:val="20"/>
          <w:szCs w:val="20"/>
          <w:lang w:val="it-IT"/>
        </w:rPr>
        <w:t xml:space="preserve"> 2013</w:t>
      </w:r>
      <w:r w:rsidRPr="006C3559">
        <w:rPr>
          <w:sz w:val="20"/>
          <w:szCs w:val="20"/>
          <w:lang w:val="it-IT"/>
        </w:rPr>
        <w:t xml:space="preserve"> – 201</w:t>
      </w:r>
      <w:r w:rsidR="008B7AFD" w:rsidRPr="006C3559">
        <w:rPr>
          <w:sz w:val="20"/>
          <w:szCs w:val="20"/>
          <w:lang w:val="it-IT"/>
        </w:rPr>
        <w:t>5</w:t>
      </w:r>
      <w:r w:rsidR="008F11CC" w:rsidRPr="006C3559">
        <w:rPr>
          <w:sz w:val="20"/>
          <w:szCs w:val="20"/>
          <w:lang w:val="it-IT"/>
        </w:rPr>
        <w:t xml:space="preserve">, </w:t>
      </w:r>
      <w:r w:rsidR="00B24232" w:rsidRPr="006C3559">
        <w:rPr>
          <w:sz w:val="20"/>
          <w:szCs w:val="20"/>
          <w:lang w:val="it-IT"/>
        </w:rPr>
        <w:t>alla</w:t>
      </w:r>
      <w:r w:rsidR="008F11CC" w:rsidRPr="006C3559">
        <w:rPr>
          <w:sz w:val="20"/>
          <w:szCs w:val="20"/>
          <w:lang w:val="it-IT"/>
        </w:rPr>
        <w:t xml:space="preserve"> stabilizzazione d</w:t>
      </w:r>
      <w:r w:rsidR="00C621E3" w:rsidRPr="006C3559">
        <w:rPr>
          <w:sz w:val="20"/>
          <w:szCs w:val="20"/>
          <w:lang w:val="it-IT"/>
        </w:rPr>
        <w:t>e</w:t>
      </w:r>
      <w:r w:rsidR="008F11CC" w:rsidRPr="006C3559">
        <w:rPr>
          <w:sz w:val="20"/>
          <w:szCs w:val="20"/>
          <w:lang w:val="it-IT"/>
        </w:rPr>
        <w:t xml:space="preserve">i </w:t>
      </w:r>
      <w:r w:rsidR="00C621E3" w:rsidRPr="006C3559">
        <w:rPr>
          <w:sz w:val="20"/>
          <w:szCs w:val="20"/>
          <w:lang w:val="it-IT"/>
        </w:rPr>
        <w:t>rapporti di lavoro temporaneo</w:t>
      </w:r>
      <w:r w:rsidR="008F11CC" w:rsidRPr="006C3559">
        <w:rPr>
          <w:sz w:val="20"/>
          <w:szCs w:val="20"/>
          <w:lang w:val="it-IT"/>
        </w:rPr>
        <w:t xml:space="preserve"> già in essere nel Gruppo,</w:t>
      </w:r>
      <w:r w:rsidR="00B24232" w:rsidRPr="006C3559">
        <w:rPr>
          <w:sz w:val="20"/>
          <w:szCs w:val="20"/>
          <w:lang w:val="it-IT"/>
        </w:rPr>
        <w:t xml:space="preserve"> nonché all’inserimento </w:t>
      </w:r>
      <w:r w:rsidR="008F11CC" w:rsidRPr="006C3559">
        <w:rPr>
          <w:sz w:val="20"/>
          <w:szCs w:val="20"/>
          <w:lang w:val="it-IT"/>
        </w:rPr>
        <w:t>di</w:t>
      </w:r>
      <w:r w:rsidR="00453F54" w:rsidRPr="006C3559">
        <w:rPr>
          <w:sz w:val="20"/>
          <w:szCs w:val="20"/>
          <w:lang w:val="it-IT"/>
        </w:rPr>
        <w:t xml:space="preserve"> </w:t>
      </w:r>
      <w:r w:rsidR="00B24232" w:rsidRPr="006C3559">
        <w:rPr>
          <w:sz w:val="20"/>
          <w:szCs w:val="20"/>
          <w:lang w:val="it-IT"/>
        </w:rPr>
        <w:t xml:space="preserve">ulteriori </w:t>
      </w:r>
      <w:r w:rsidR="00453F54" w:rsidRPr="006C3559">
        <w:rPr>
          <w:sz w:val="20"/>
          <w:szCs w:val="20"/>
          <w:lang w:val="it-IT"/>
        </w:rPr>
        <w:t xml:space="preserve">risorse con contratti </w:t>
      </w:r>
      <w:r w:rsidR="008F11CC" w:rsidRPr="006C3559">
        <w:rPr>
          <w:sz w:val="20"/>
          <w:szCs w:val="20"/>
          <w:lang w:val="it-IT"/>
        </w:rPr>
        <w:t xml:space="preserve">di lavoro </w:t>
      </w:r>
      <w:r w:rsidR="008B7AFD" w:rsidRPr="006C3559">
        <w:rPr>
          <w:sz w:val="20"/>
          <w:szCs w:val="20"/>
          <w:lang w:val="it-IT"/>
        </w:rPr>
        <w:t xml:space="preserve">anche </w:t>
      </w:r>
      <w:r w:rsidR="008F11CC" w:rsidRPr="006C3559">
        <w:rPr>
          <w:sz w:val="20"/>
          <w:szCs w:val="20"/>
          <w:lang w:val="it-IT"/>
        </w:rPr>
        <w:t>non a tempo indeterminato.</w:t>
      </w:r>
      <w:r w:rsidR="00B24232" w:rsidRPr="006C3559">
        <w:rPr>
          <w:sz w:val="20"/>
          <w:szCs w:val="20"/>
          <w:lang w:val="it-IT"/>
        </w:rPr>
        <w:t xml:space="preserve"> </w:t>
      </w:r>
    </w:p>
    <w:p w:rsidR="008B7AFD" w:rsidRPr="006C3559" w:rsidRDefault="008B7AFD" w:rsidP="00CA3A9D">
      <w:pPr>
        <w:spacing w:after="120" w:line="240" w:lineRule="auto"/>
        <w:ind w:firstLine="720"/>
        <w:jc w:val="both"/>
        <w:rPr>
          <w:sz w:val="20"/>
          <w:szCs w:val="20"/>
          <w:lang w:val="it-IT"/>
        </w:rPr>
      </w:pPr>
      <w:r w:rsidRPr="006C3559">
        <w:rPr>
          <w:sz w:val="20"/>
          <w:szCs w:val="20"/>
          <w:lang w:val="it-IT"/>
        </w:rPr>
        <w:t xml:space="preserve">Detti inserimenti </w:t>
      </w:r>
      <w:r w:rsidR="00FF1DFE" w:rsidRPr="006C3559">
        <w:rPr>
          <w:sz w:val="20"/>
          <w:szCs w:val="20"/>
          <w:lang w:val="it-IT"/>
        </w:rPr>
        <w:t xml:space="preserve">e stabilizzazioni </w:t>
      </w:r>
      <w:r w:rsidRPr="006C3559">
        <w:rPr>
          <w:sz w:val="20"/>
          <w:szCs w:val="20"/>
          <w:lang w:val="it-IT"/>
        </w:rPr>
        <w:t xml:space="preserve">avverranno in </w:t>
      </w:r>
      <w:r w:rsidR="00047A4B" w:rsidRPr="006C3559">
        <w:rPr>
          <w:sz w:val="20"/>
          <w:szCs w:val="20"/>
          <w:lang w:val="it-IT"/>
        </w:rPr>
        <w:t xml:space="preserve">misura </w:t>
      </w:r>
      <w:r w:rsidR="00D815B4" w:rsidRPr="006C3559">
        <w:rPr>
          <w:sz w:val="20"/>
          <w:szCs w:val="20"/>
          <w:lang w:val="it-IT"/>
        </w:rPr>
        <w:t xml:space="preserve">complessiva </w:t>
      </w:r>
      <w:r w:rsidR="00A673D3" w:rsidRPr="006C3559">
        <w:rPr>
          <w:sz w:val="20"/>
          <w:szCs w:val="20"/>
          <w:lang w:val="it-IT"/>
        </w:rPr>
        <w:t xml:space="preserve">minima </w:t>
      </w:r>
      <w:r w:rsidR="00534419" w:rsidRPr="006C3559">
        <w:rPr>
          <w:sz w:val="20"/>
          <w:szCs w:val="20"/>
          <w:lang w:val="it-IT"/>
        </w:rPr>
        <w:t xml:space="preserve">di </w:t>
      </w:r>
      <w:proofErr w:type="spellStart"/>
      <w:r w:rsidR="00534419" w:rsidRPr="006C3559">
        <w:rPr>
          <w:sz w:val="20"/>
          <w:szCs w:val="20"/>
          <w:lang w:val="it-IT"/>
        </w:rPr>
        <w:t>nr</w:t>
      </w:r>
      <w:proofErr w:type="spellEnd"/>
      <w:r w:rsidR="006C3559">
        <w:rPr>
          <w:sz w:val="20"/>
          <w:szCs w:val="20"/>
          <w:lang w:val="it-IT"/>
        </w:rPr>
        <w:t>. 2</w:t>
      </w:r>
      <w:r w:rsidR="007871AA">
        <w:rPr>
          <w:sz w:val="20"/>
          <w:szCs w:val="20"/>
          <w:lang w:val="it-IT"/>
        </w:rPr>
        <w:t>4</w:t>
      </w:r>
      <w:r w:rsidR="006C3559">
        <w:rPr>
          <w:sz w:val="20"/>
          <w:szCs w:val="20"/>
          <w:lang w:val="it-IT"/>
        </w:rPr>
        <w:t>0</w:t>
      </w:r>
      <w:r w:rsidR="00534419" w:rsidRPr="006C3559">
        <w:rPr>
          <w:b/>
          <w:sz w:val="20"/>
          <w:szCs w:val="20"/>
          <w:lang w:val="it-IT"/>
        </w:rPr>
        <w:t xml:space="preserve"> </w:t>
      </w:r>
      <w:r w:rsidR="00534419" w:rsidRPr="006C3559">
        <w:rPr>
          <w:sz w:val="20"/>
          <w:szCs w:val="20"/>
          <w:lang w:val="it-IT"/>
        </w:rPr>
        <w:t>unità nell’arco di periodo, in ragione delle</w:t>
      </w:r>
      <w:r w:rsidR="00047A4B" w:rsidRPr="006C3559">
        <w:rPr>
          <w:sz w:val="20"/>
          <w:szCs w:val="20"/>
          <w:lang w:val="it-IT"/>
        </w:rPr>
        <w:t xml:space="preserve"> </w:t>
      </w:r>
      <w:r w:rsidRPr="006C3559">
        <w:rPr>
          <w:sz w:val="20"/>
          <w:szCs w:val="20"/>
          <w:lang w:val="it-IT"/>
        </w:rPr>
        <w:t xml:space="preserve">cessazioni conseguenti all’attuazione del predetto piano; le stabilizzazioni avverranno di norma presso la Società in cui è radicato l’attuale rapporto di lavoro, mentre </w:t>
      </w:r>
      <w:r w:rsidR="00660762" w:rsidRPr="006C3559">
        <w:rPr>
          <w:sz w:val="20"/>
          <w:szCs w:val="20"/>
          <w:lang w:val="it-IT"/>
        </w:rPr>
        <w:t>i nuovi</w:t>
      </w:r>
      <w:r w:rsidRPr="006C3559">
        <w:rPr>
          <w:sz w:val="20"/>
          <w:szCs w:val="20"/>
          <w:lang w:val="it-IT"/>
        </w:rPr>
        <w:t xml:space="preserve"> inserimenti</w:t>
      </w:r>
      <w:r w:rsidR="00660762" w:rsidRPr="006C3559">
        <w:rPr>
          <w:sz w:val="20"/>
          <w:szCs w:val="20"/>
          <w:lang w:val="it-IT"/>
        </w:rPr>
        <w:t xml:space="preserve"> </w:t>
      </w:r>
      <w:r w:rsidRPr="006C3559">
        <w:rPr>
          <w:sz w:val="20"/>
          <w:szCs w:val="20"/>
          <w:lang w:val="it-IT"/>
        </w:rPr>
        <w:t xml:space="preserve">saranno effettuati in misura proporzionale agli esodi registrati presso ogni singola Azienda. </w:t>
      </w:r>
    </w:p>
    <w:p w:rsidR="00A60819" w:rsidRPr="006C3559" w:rsidRDefault="00A60819" w:rsidP="00A60819">
      <w:pPr>
        <w:spacing w:after="120" w:line="240" w:lineRule="auto"/>
        <w:ind w:firstLine="709"/>
        <w:jc w:val="both"/>
        <w:rPr>
          <w:sz w:val="20"/>
          <w:szCs w:val="20"/>
          <w:lang w:val="it-IT"/>
        </w:rPr>
      </w:pPr>
      <w:r w:rsidRPr="006C3559">
        <w:rPr>
          <w:sz w:val="20"/>
          <w:szCs w:val="20"/>
          <w:lang w:val="it-IT"/>
        </w:rPr>
        <w:t xml:space="preserve">Le Aziende si rendono disponibili per un incontro finalizzato alla puntuale individuazione, secondo i principi di cui sopra, della collocazione societaria degli inserimenti previsti. </w:t>
      </w:r>
    </w:p>
    <w:p w:rsidR="00047A4B" w:rsidRPr="006C3559" w:rsidRDefault="00047A4B" w:rsidP="00CA3A9D">
      <w:pPr>
        <w:spacing w:after="120" w:line="240" w:lineRule="auto"/>
        <w:ind w:firstLine="720"/>
        <w:jc w:val="both"/>
        <w:rPr>
          <w:sz w:val="20"/>
          <w:szCs w:val="20"/>
          <w:lang w:val="it-IT"/>
        </w:rPr>
      </w:pPr>
      <w:r w:rsidRPr="006C3559">
        <w:rPr>
          <w:sz w:val="20"/>
          <w:szCs w:val="20"/>
          <w:lang w:val="it-IT"/>
        </w:rPr>
        <w:t xml:space="preserve">La positiva valutazione dei lavoratori rappresenta condizione necessaria per l’inserimento, con priorità, in base alle esigenze che si produrranno sui territori, riconosciuta alle risorse che hanno maturato maggiore permanenza all’interno del Gruppo. </w:t>
      </w:r>
    </w:p>
    <w:p w:rsidR="00C621E3" w:rsidRPr="006C3559" w:rsidRDefault="00C621E3" w:rsidP="00CA3A9D">
      <w:pPr>
        <w:spacing w:after="120" w:line="240" w:lineRule="auto"/>
        <w:ind w:firstLine="720"/>
        <w:jc w:val="both"/>
        <w:rPr>
          <w:sz w:val="20"/>
          <w:szCs w:val="20"/>
          <w:lang w:val="it-IT"/>
        </w:rPr>
      </w:pPr>
      <w:r w:rsidRPr="006C3559">
        <w:rPr>
          <w:sz w:val="20"/>
          <w:szCs w:val="20"/>
          <w:lang w:val="it-IT"/>
        </w:rPr>
        <w:t>Il Gruppo conferma inoltre l’impegno, per la copertura del futuro fabbisogno di organico, al ricorso in via prioritaria al bacino di lavoratori che abbiano già positivamente collaborato all’interno del Gruppo medesimo con contratti di la</w:t>
      </w:r>
      <w:r w:rsidR="00A60819" w:rsidRPr="006C3559">
        <w:rPr>
          <w:sz w:val="20"/>
          <w:szCs w:val="20"/>
          <w:lang w:val="it-IT"/>
        </w:rPr>
        <w:t>voro non a tempo indeterminato, con priorità a coloro che hanno cessato il contratto a partire dal 1.6.2012.</w:t>
      </w:r>
    </w:p>
    <w:p w:rsidR="009409E0" w:rsidRPr="006C3559" w:rsidRDefault="008B7AFD" w:rsidP="00CA3A9D">
      <w:pPr>
        <w:spacing w:after="120" w:line="240" w:lineRule="auto"/>
        <w:ind w:firstLine="720"/>
        <w:jc w:val="both"/>
        <w:rPr>
          <w:sz w:val="20"/>
          <w:szCs w:val="20"/>
          <w:lang w:val="it-IT"/>
        </w:rPr>
      </w:pPr>
      <w:r w:rsidRPr="006C3559">
        <w:rPr>
          <w:sz w:val="20"/>
          <w:szCs w:val="20"/>
          <w:lang w:val="it-IT"/>
        </w:rPr>
        <w:t>Per le assunzioni a tempo indeterminato, si conferma il ricorso, ricorrendone i requisiti, al Fondo per l’Occupazione di cui all’art. 12 dell’Accordo 19.1.2012 di Rinnovo del CCNL 8.12.2007.</w:t>
      </w:r>
    </w:p>
    <w:p w:rsidR="00EA27EF" w:rsidRPr="006C3559" w:rsidRDefault="009409E0" w:rsidP="00CA3A9D">
      <w:pPr>
        <w:spacing w:after="120" w:line="240" w:lineRule="auto"/>
        <w:ind w:firstLine="720"/>
        <w:jc w:val="both"/>
        <w:rPr>
          <w:sz w:val="20"/>
          <w:szCs w:val="20"/>
          <w:lang w:val="it-IT"/>
        </w:rPr>
      </w:pPr>
      <w:r w:rsidRPr="006C3559">
        <w:rPr>
          <w:sz w:val="20"/>
          <w:szCs w:val="20"/>
          <w:lang w:val="it-IT"/>
        </w:rPr>
        <w:t>Con riferimento al predetto Fondo per l’Occupazione, non appena specificati termini e criteri di versamento dei contributi di cui al citato art. 12, 2° co</w:t>
      </w:r>
      <w:r w:rsidR="00660762" w:rsidRPr="006C3559">
        <w:rPr>
          <w:sz w:val="20"/>
          <w:szCs w:val="20"/>
          <w:lang w:val="it-IT"/>
        </w:rPr>
        <w:t>mma</w:t>
      </w:r>
      <w:r w:rsidRPr="006C3559">
        <w:rPr>
          <w:sz w:val="20"/>
          <w:szCs w:val="20"/>
          <w:lang w:val="it-IT"/>
        </w:rPr>
        <w:t>, saranno definite anche per il nostro Gruppo le</w:t>
      </w:r>
      <w:r w:rsidR="00047A4B" w:rsidRPr="006C3559">
        <w:rPr>
          <w:sz w:val="20"/>
          <w:szCs w:val="20"/>
          <w:lang w:val="it-IT"/>
        </w:rPr>
        <w:t xml:space="preserve"> modalità di adesione</w:t>
      </w:r>
      <w:r w:rsidRPr="006C3559">
        <w:rPr>
          <w:sz w:val="20"/>
          <w:szCs w:val="20"/>
          <w:lang w:val="it-IT"/>
        </w:rPr>
        <w:t xml:space="preserve"> da parte del management e di versamento del relativo contributo, secondo i criteri indicati dall’ABI.  </w:t>
      </w:r>
    </w:p>
    <w:p w:rsidR="00A60819" w:rsidRPr="00B01C0E" w:rsidRDefault="00A60819" w:rsidP="00887415">
      <w:pPr>
        <w:spacing w:after="120" w:line="240" w:lineRule="auto"/>
        <w:ind w:firstLine="720"/>
        <w:jc w:val="both"/>
        <w:rPr>
          <w:sz w:val="20"/>
          <w:szCs w:val="20"/>
          <w:lang w:val="it-IT"/>
        </w:rPr>
      </w:pPr>
      <w:r w:rsidRPr="006C3559">
        <w:rPr>
          <w:sz w:val="20"/>
          <w:szCs w:val="20"/>
          <w:lang w:val="it-IT"/>
        </w:rPr>
        <w:t>In caso di stabilizzazione/inserimento di contratti non a tempo indeterminato, il servizio già prestato presso Banche/Società del gruppo, sarà computato, ad ogni fine co</w:t>
      </w:r>
      <w:r w:rsidR="00887415" w:rsidRPr="006C3559">
        <w:rPr>
          <w:sz w:val="20"/>
          <w:szCs w:val="20"/>
          <w:lang w:val="it-IT"/>
        </w:rPr>
        <w:t>nnesso all’anzianità aziendale.</w:t>
      </w:r>
    </w:p>
    <w:p w:rsidR="000B5E34" w:rsidRPr="00B01C0E" w:rsidRDefault="000B5E34" w:rsidP="00CA3A9D">
      <w:pPr>
        <w:pStyle w:val="Paragrafoelenco1"/>
        <w:spacing w:after="120" w:line="240" w:lineRule="auto"/>
        <w:ind w:left="0" w:firstLine="720"/>
        <w:jc w:val="both"/>
        <w:rPr>
          <w:sz w:val="20"/>
          <w:szCs w:val="20"/>
          <w:lang w:val="it-IT"/>
        </w:rPr>
      </w:pPr>
    </w:p>
    <w:p w:rsidR="00EA27EF" w:rsidRDefault="00D62A0E" w:rsidP="00CA3A9D">
      <w:pPr>
        <w:pStyle w:val="Paragrafoelenco1"/>
        <w:spacing w:after="120" w:line="240" w:lineRule="auto"/>
        <w:ind w:left="0" w:firstLine="720"/>
        <w:jc w:val="both"/>
        <w:rPr>
          <w:sz w:val="20"/>
          <w:szCs w:val="20"/>
          <w:lang w:val="it-IT"/>
        </w:rPr>
      </w:pPr>
      <w:r>
        <w:rPr>
          <w:sz w:val="20"/>
          <w:szCs w:val="20"/>
          <w:lang w:val="it-IT"/>
        </w:rPr>
        <w:t>Distinti s</w:t>
      </w:r>
      <w:r w:rsidR="00637B61" w:rsidRPr="00A4624F">
        <w:rPr>
          <w:sz w:val="20"/>
          <w:szCs w:val="20"/>
          <w:lang w:val="it-IT"/>
        </w:rPr>
        <w:t>aluti.</w:t>
      </w:r>
    </w:p>
    <w:p w:rsidR="00637B61" w:rsidRDefault="00637B61" w:rsidP="00637B61">
      <w:pPr>
        <w:pStyle w:val="Paragrafoelenco1"/>
        <w:spacing w:line="240" w:lineRule="auto"/>
        <w:ind w:left="142"/>
        <w:jc w:val="both"/>
        <w:rPr>
          <w:sz w:val="20"/>
          <w:szCs w:val="20"/>
          <w:lang w:val="it-IT"/>
        </w:rPr>
      </w:pPr>
    </w:p>
    <w:p w:rsidR="00637B61" w:rsidRDefault="00637B61" w:rsidP="00637B61">
      <w:pPr>
        <w:pStyle w:val="Paragrafoelenco1"/>
        <w:spacing w:line="240" w:lineRule="auto"/>
        <w:ind w:left="142"/>
        <w:jc w:val="both"/>
        <w:rPr>
          <w:sz w:val="20"/>
          <w:szCs w:val="20"/>
          <w:lang w:val="it-IT"/>
        </w:rPr>
      </w:pPr>
    </w:p>
    <w:p w:rsidR="00637B61" w:rsidRPr="00A37625" w:rsidRDefault="00637B61" w:rsidP="00637B61">
      <w:pPr>
        <w:pStyle w:val="Paragrafoelenco1"/>
        <w:spacing w:line="240" w:lineRule="auto"/>
        <w:ind w:left="142"/>
        <w:jc w:val="both"/>
        <w:rPr>
          <w:sz w:val="20"/>
          <w:szCs w:val="20"/>
          <w:lang w:val="it-IT"/>
        </w:rPr>
      </w:pP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t xml:space="preserve">UBI Banca </w:t>
      </w:r>
      <w:proofErr w:type="spellStart"/>
      <w:r>
        <w:rPr>
          <w:sz w:val="20"/>
          <w:szCs w:val="20"/>
          <w:lang w:val="it-IT"/>
        </w:rPr>
        <w:t>Scpa</w:t>
      </w:r>
      <w:proofErr w:type="spellEnd"/>
    </w:p>
    <w:sectPr w:rsidR="00637B61" w:rsidRPr="00A37625" w:rsidSect="00D20DBD">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ACC"/>
    <w:multiLevelType w:val="hybridMultilevel"/>
    <w:tmpl w:val="E076AE5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50732CB"/>
    <w:multiLevelType w:val="hybridMultilevel"/>
    <w:tmpl w:val="ED44CD1C"/>
    <w:lvl w:ilvl="0" w:tplc="E422917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D54CE8"/>
    <w:multiLevelType w:val="hybridMultilevel"/>
    <w:tmpl w:val="919455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6E40BF"/>
    <w:multiLevelType w:val="hybridMultilevel"/>
    <w:tmpl w:val="A1E65D3E"/>
    <w:lvl w:ilvl="0" w:tplc="3E42E7A8">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D97C2E"/>
    <w:rsid w:val="00017A5A"/>
    <w:rsid w:val="00047A4B"/>
    <w:rsid w:val="00056DDE"/>
    <w:rsid w:val="000679E5"/>
    <w:rsid w:val="0008653A"/>
    <w:rsid w:val="00091C37"/>
    <w:rsid w:val="000A2891"/>
    <w:rsid w:val="000A761D"/>
    <w:rsid w:val="000B5E34"/>
    <w:rsid w:val="000F2A23"/>
    <w:rsid w:val="0016265B"/>
    <w:rsid w:val="001701BE"/>
    <w:rsid w:val="002B78FB"/>
    <w:rsid w:val="003106FA"/>
    <w:rsid w:val="00320D22"/>
    <w:rsid w:val="0033405B"/>
    <w:rsid w:val="0035592C"/>
    <w:rsid w:val="003A37A9"/>
    <w:rsid w:val="003D4205"/>
    <w:rsid w:val="003E4DFB"/>
    <w:rsid w:val="003F0F0B"/>
    <w:rsid w:val="0040362A"/>
    <w:rsid w:val="004139AA"/>
    <w:rsid w:val="00440954"/>
    <w:rsid w:val="004539C2"/>
    <w:rsid w:val="00453F54"/>
    <w:rsid w:val="00461954"/>
    <w:rsid w:val="00471DFD"/>
    <w:rsid w:val="004849BD"/>
    <w:rsid w:val="004C5657"/>
    <w:rsid w:val="004D3473"/>
    <w:rsid w:val="005060C5"/>
    <w:rsid w:val="00514A20"/>
    <w:rsid w:val="00534419"/>
    <w:rsid w:val="0058034F"/>
    <w:rsid w:val="00585B47"/>
    <w:rsid w:val="005A7232"/>
    <w:rsid w:val="005A7BB7"/>
    <w:rsid w:val="005F0A9B"/>
    <w:rsid w:val="005F12DF"/>
    <w:rsid w:val="00605B5F"/>
    <w:rsid w:val="00637B61"/>
    <w:rsid w:val="00643A9F"/>
    <w:rsid w:val="00660762"/>
    <w:rsid w:val="00671775"/>
    <w:rsid w:val="006A265D"/>
    <w:rsid w:val="006B3F8B"/>
    <w:rsid w:val="006C3559"/>
    <w:rsid w:val="006D2E7A"/>
    <w:rsid w:val="006D6CE3"/>
    <w:rsid w:val="00717DA3"/>
    <w:rsid w:val="00746CCE"/>
    <w:rsid w:val="007612F2"/>
    <w:rsid w:val="00781843"/>
    <w:rsid w:val="007871AA"/>
    <w:rsid w:val="00795953"/>
    <w:rsid w:val="007A23FC"/>
    <w:rsid w:val="007B0D89"/>
    <w:rsid w:val="007C0788"/>
    <w:rsid w:val="00801CEC"/>
    <w:rsid w:val="00887415"/>
    <w:rsid w:val="00890547"/>
    <w:rsid w:val="008B3765"/>
    <w:rsid w:val="008B7AFD"/>
    <w:rsid w:val="008F11CC"/>
    <w:rsid w:val="009409E0"/>
    <w:rsid w:val="009466C0"/>
    <w:rsid w:val="00987792"/>
    <w:rsid w:val="009D3848"/>
    <w:rsid w:val="009E75F7"/>
    <w:rsid w:val="009F2792"/>
    <w:rsid w:val="00A37625"/>
    <w:rsid w:val="00A4624F"/>
    <w:rsid w:val="00A60819"/>
    <w:rsid w:val="00A673D3"/>
    <w:rsid w:val="00AA5F91"/>
    <w:rsid w:val="00AC0031"/>
    <w:rsid w:val="00AF30DE"/>
    <w:rsid w:val="00B01C0E"/>
    <w:rsid w:val="00B16F08"/>
    <w:rsid w:val="00B24232"/>
    <w:rsid w:val="00B27DB9"/>
    <w:rsid w:val="00B76937"/>
    <w:rsid w:val="00C621E3"/>
    <w:rsid w:val="00C924AC"/>
    <w:rsid w:val="00CA3A9D"/>
    <w:rsid w:val="00CE4945"/>
    <w:rsid w:val="00CF397C"/>
    <w:rsid w:val="00D20DBD"/>
    <w:rsid w:val="00D26C4A"/>
    <w:rsid w:val="00D37887"/>
    <w:rsid w:val="00D5059A"/>
    <w:rsid w:val="00D52C9A"/>
    <w:rsid w:val="00D62A0E"/>
    <w:rsid w:val="00D74307"/>
    <w:rsid w:val="00D815B4"/>
    <w:rsid w:val="00D927BE"/>
    <w:rsid w:val="00D97C2E"/>
    <w:rsid w:val="00DC0190"/>
    <w:rsid w:val="00DC202F"/>
    <w:rsid w:val="00DC39D7"/>
    <w:rsid w:val="00E74A94"/>
    <w:rsid w:val="00EA27EF"/>
    <w:rsid w:val="00EB446A"/>
    <w:rsid w:val="00EB4A40"/>
    <w:rsid w:val="00EE5F69"/>
    <w:rsid w:val="00F53E63"/>
    <w:rsid w:val="00F90BA7"/>
    <w:rsid w:val="00FB3B33"/>
    <w:rsid w:val="00FF1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20DBD"/>
    <w:pPr>
      <w:spacing w:after="200" w:line="276" w:lineRule="auto"/>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6D2E7A"/>
    <w:pPr>
      <w:ind w:left="720"/>
      <w:contextualSpacing/>
    </w:pPr>
  </w:style>
  <w:style w:type="paragraph" w:styleId="Testofumetto">
    <w:name w:val="Balloon Text"/>
    <w:basedOn w:val="Normale"/>
    <w:link w:val="TestofumettoCarattere"/>
    <w:rsid w:val="004619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61954"/>
    <w:rPr>
      <w:rFonts w:ascii="Tahoma" w:eastAsia="Times New Roman" w:hAnsi="Tahoma" w:cs="Tahoma"/>
      <w:sz w:val="16"/>
      <w:szCs w:val="16"/>
    </w:rPr>
  </w:style>
  <w:style w:type="paragraph" w:styleId="Paragrafoelenco">
    <w:name w:val="List Paragraph"/>
    <w:basedOn w:val="Normale"/>
    <w:uiPriority w:val="34"/>
    <w:qFormat/>
    <w:rsid w:val="00EA27EF"/>
    <w:pPr>
      <w:ind w:left="720"/>
    </w:pPr>
  </w:style>
  <w:style w:type="paragraph" w:styleId="Nessunaspaziatura">
    <w:name w:val="No Spacing"/>
    <w:uiPriority w:val="99"/>
    <w:qFormat/>
    <w:rsid w:val="00A60819"/>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34C1-3442-453C-8364-C710CB97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349</Words>
  <Characters>2142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UBI Banca</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 Sistemi e Servizi</dc:creator>
  <cp:keywords/>
  <dc:description/>
  <cp:lastModifiedBy>UBI Sistemi e Servizi</cp:lastModifiedBy>
  <cp:revision>20</cp:revision>
  <cp:lastPrinted>2012-11-29T11:07:00Z</cp:lastPrinted>
  <dcterms:created xsi:type="dcterms:W3CDTF">2012-11-26T23:07:00Z</dcterms:created>
  <dcterms:modified xsi:type="dcterms:W3CDTF">2012-11-29T12:42:00Z</dcterms:modified>
</cp:coreProperties>
</file>